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方正小标宋简体" w:hAnsi="方正小标宋简体" w:eastAsia="方正小标宋简体" w:cs="方正小标宋简体"/>
          <w:b/>
          <w:bCs/>
          <w:color w:val="auto"/>
          <w:sz w:val="40"/>
          <w:szCs w:val="40"/>
          <w:highlight w:val="none"/>
        </w:rPr>
      </w:pPr>
      <w:bookmarkStart w:id="18" w:name="_GoBack"/>
      <w:bookmarkEnd w:id="18"/>
      <w:r>
        <w:rPr>
          <w:rFonts w:hint="eastAsia" w:ascii="方正小标宋简体" w:hAnsi="方正小标宋简体" w:eastAsia="方正小标宋简体" w:cs="方正小标宋简体"/>
          <w:b/>
          <w:bCs/>
          <w:color w:val="auto"/>
          <w:sz w:val="40"/>
          <w:szCs w:val="40"/>
          <w:highlight w:val="none"/>
        </w:rPr>
        <w:t>全县财政业务工作管理和服务项目</w:t>
      </w:r>
    </w:p>
    <w:p>
      <w:pPr>
        <w:spacing w:line="240" w:lineRule="atLeast"/>
        <w:jc w:val="center"/>
        <w:rPr>
          <w:rFonts w:hint="eastAsia" w:ascii="方正小标宋简体" w:hAnsi="方正小标宋简体" w:eastAsia="方正小标宋简体" w:cs="方正小标宋简体"/>
          <w:b/>
          <w:bCs/>
          <w:color w:val="auto"/>
          <w:sz w:val="40"/>
          <w:szCs w:val="40"/>
          <w:highlight w:val="none"/>
        </w:rPr>
      </w:pPr>
      <w:r>
        <w:rPr>
          <w:rFonts w:hint="eastAsia" w:ascii="方正小标宋简体" w:hAnsi="方正小标宋简体" w:eastAsia="方正小标宋简体" w:cs="方正小标宋简体"/>
          <w:b/>
          <w:bCs/>
          <w:color w:val="auto"/>
          <w:sz w:val="40"/>
          <w:szCs w:val="40"/>
          <w:highlight w:val="none"/>
        </w:rPr>
        <w:t>支出绩效评价报告</w:t>
      </w: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color w:val="auto"/>
          <w:highlight w:val="none"/>
        </w:rPr>
      </w:pPr>
      <w:r>
        <w:rPr>
          <w:rFonts w:hint="eastAsia"/>
          <w:color w:val="auto"/>
          <w:highlight w:val="none"/>
        </w:rPr>
        <w:t>1.项目背景</w:t>
      </w:r>
    </w:p>
    <w:p>
      <w:pPr>
        <w:pStyle w:val="6"/>
        <w:pageBreakBefore w:val="0"/>
        <w:widowControl w:val="0"/>
        <w:kinsoku/>
        <w:wordWrap/>
        <w:overflowPunct/>
        <w:topLinePunct w:val="0"/>
        <w:autoSpaceDE/>
        <w:autoSpaceDN/>
        <w:bidi w:val="0"/>
        <w:adjustRightInd/>
        <w:snapToGrid/>
        <w:textAlignment w:val="auto"/>
        <w:rPr>
          <w:rFonts w:hint="eastAsia"/>
          <w:color w:val="auto"/>
          <w:highlight w:val="none"/>
          <w:lang w:val="en-US" w:eastAsia="zh-CN"/>
        </w:rPr>
      </w:pPr>
      <w:r>
        <w:rPr>
          <w:rFonts w:hint="eastAsia" w:ascii="Times New Roman" w:hAnsi="Times New Roman" w:eastAsia="仿宋_GB2312" w:cs="Times New Roman"/>
          <w:b w:val="0"/>
          <w:bCs w:val="0"/>
          <w:color w:val="auto"/>
          <w:kern w:val="2"/>
          <w:sz w:val="28"/>
          <w:szCs w:val="24"/>
          <w:highlight w:val="none"/>
          <w:lang w:val="en-US" w:eastAsia="zh-CN" w:bidi="ar-SA"/>
        </w:rPr>
        <w:t>习近平总书记强调：“科学的财税体制是优化资源配置、维护市场统一、促进社会公平、实现国家长治久安的制度保障。”“十四五”规划和2035年远景目标纲要提出了建立现代财税金融体制的目标要求、主要任务和实现路径。要加强战略性、系统性、前瞻性研究谋划，善于从政治和全局高度，不断深化财税体制改革，充分发挥改革突破和先导作用。进一步深化预算管理制度改革，促进预算管理各项制度的系统集成、协同高效。加强中期财政规划管理。财政工作要，按照“积极的财政政策要提质增效、更可持续”的要求，推动加快构建新发展格局。严格按照党中央、国务院决策部署，加强财政资源统筹，保持适度支出强度。全面落实过“紧日子”要求，严控新增支出。进一步完善并抓好直达机制落实，提高直达资金管理水平。持续推进减税降费。为做好</w:t>
      </w:r>
      <w:r>
        <w:rPr>
          <w:rFonts w:hint="eastAsia" w:ascii="Times New Roman" w:hAnsi="Times New Roman" w:cs="Times New Roman"/>
          <w:b w:val="0"/>
          <w:bCs w:val="0"/>
          <w:color w:val="auto"/>
          <w:kern w:val="2"/>
          <w:sz w:val="28"/>
          <w:szCs w:val="24"/>
          <w:highlight w:val="none"/>
          <w:lang w:val="en-US" w:eastAsia="zh-CN" w:bidi="ar-SA"/>
        </w:rPr>
        <w:t>财政管理</w:t>
      </w:r>
      <w:r>
        <w:rPr>
          <w:rFonts w:hint="eastAsia" w:ascii="Times New Roman" w:hAnsi="Times New Roman" w:eastAsia="仿宋_GB2312" w:cs="Times New Roman"/>
          <w:b w:val="0"/>
          <w:bCs w:val="0"/>
          <w:color w:val="auto"/>
          <w:kern w:val="2"/>
          <w:sz w:val="28"/>
          <w:szCs w:val="24"/>
          <w:highlight w:val="none"/>
          <w:lang w:val="en-US" w:eastAsia="zh-CN" w:bidi="ar-SA"/>
        </w:rPr>
        <w:t>工作，托克逊县财政局申报全县财政业务工作管理和服务项目用以</w:t>
      </w:r>
      <w:r>
        <w:rPr>
          <w:rFonts w:hint="eastAsia" w:ascii="Times New Roman" w:hAnsi="Times New Roman" w:cs="Times New Roman"/>
          <w:b w:val="0"/>
          <w:bCs w:val="0"/>
          <w:color w:val="auto"/>
          <w:kern w:val="2"/>
          <w:sz w:val="28"/>
          <w:szCs w:val="24"/>
          <w:highlight w:val="none"/>
          <w:lang w:val="en-US" w:eastAsia="zh-CN" w:bidi="ar-SA"/>
        </w:rPr>
        <w:t>保障财政工作的正常运转</w:t>
      </w:r>
      <w:r>
        <w:rPr>
          <w:rFonts w:hint="eastAsia" w:ascii="Times New Roman" w:hAnsi="Times New Roman" w:eastAsia="仿宋_GB2312" w:cs="Times New Roman"/>
          <w:b w:val="0"/>
          <w:bCs w:val="0"/>
          <w:color w:val="auto"/>
          <w:kern w:val="2"/>
          <w:sz w:val="28"/>
          <w:szCs w:val="24"/>
          <w:highlight w:val="none"/>
          <w:lang w:val="en-US" w:eastAsia="zh-CN" w:bidi="ar-SA"/>
        </w:rPr>
        <w:t>。</w:t>
      </w:r>
    </w:p>
    <w:p>
      <w:pPr>
        <w:pStyle w:val="6"/>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项目名称：全县财政业务工作管理和服务项目</w:t>
      </w:r>
    </w:p>
    <w:p>
      <w:pPr>
        <w:ind w:firstLine="560"/>
        <w:rPr>
          <w:rFonts w:hint="default"/>
          <w:color w:val="auto"/>
          <w:highlight w:val="none"/>
          <w:lang w:val="en-US" w:eastAsia="zh-CN"/>
        </w:rPr>
      </w:pPr>
      <w:r>
        <w:rPr>
          <w:rFonts w:hint="eastAsia"/>
          <w:color w:val="auto"/>
          <w:highlight w:val="none"/>
          <w:lang w:val="en-US" w:eastAsia="zh-CN"/>
        </w:rPr>
        <w:t>项目主要内容：依据中央、自治区、市对财政工作管理要求，2023年县财政局实施的全县财政业务工作管理和服务项目重点用于测绘办公用房单位面积、预决算管理、财务人员培训、预算绩效管理、以及政信息系统运行维护，加快推进我县财政工作信息化、科学化、规范化，以及提高全县财务人员水平。</w:t>
      </w:r>
    </w:p>
    <w:p>
      <w:pPr>
        <w:ind w:firstLine="562"/>
        <w:rPr>
          <w:color w:val="auto"/>
          <w:highlight w:val="none"/>
        </w:rPr>
      </w:pPr>
    </w:p>
    <w:p>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color w:val="auto"/>
          <w:highlight w:val="none"/>
        </w:rPr>
      </w:pPr>
      <w:r>
        <w:rPr>
          <w:rFonts w:hint="eastAsia"/>
          <w:color w:val="auto"/>
          <w:highlight w:val="none"/>
          <w:lang w:val="en-US" w:eastAsia="zh-CN"/>
        </w:rPr>
        <w:t>项目</w:t>
      </w:r>
      <w:r>
        <w:rPr>
          <w:color w:val="auto"/>
          <w:highlight w:val="none"/>
        </w:rPr>
        <w:t>实施主体：</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12</w:t>
      </w:r>
      <w:r>
        <w:rPr>
          <w:rFonts w:hint="eastAsia"/>
          <w:color w:val="auto"/>
          <w:highlight w:val="none"/>
        </w:rPr>
        <w:t>月。</w:t>
      </w:r>
    </w:p>
    <w:p>
      <w:pPr>
        <w:rPr>
          <w:rFonts w:hint="eastAsia"/>
          <w:color w:val="auto"/>
          <w:highlight w:val="none"/>
          <w:lang w:val="en-US" w:eastAsia="zh-CN"/>
        </w:rPr>
      </w:pPr>
      <w:r>
        <w:rPr>
          <w:rFonts w:hint="eastAsia"/>
          <w:color w:val="auto"/>
          <w:highlight w:val="none"/>
          <w:lang w:val="en-US" w:eastAsia="zh-CN"/>
        </w:rPr>
        <w:t>项目实施情况：</w:t>
      </w:r>
    </w:p>
    <w:p>
      <w:pPr>
        <w:bidi w:val="0"/>
        <w:rPr>
          <w:rFonts w:hint="default" w:eastAsia="仿宋_GB2312"/>
          <w:color w:val="auto"/>
          <w:highlight w:val="none"/>
          <w:lang w:val="en-US" w:eastAsia="zh-CN"/>
        </w:rPr>
      </w:pPr>
      <w:r>
        <w:rPr>
          <w:rFonts w:hint="eastAsia"/>
          <w:color w:val="auto"/>
          <w:highlight w:val="none"/>
          <w:lang w:val="en-US" w:eastAsia="zh-CN"/>
        </w:rPr>
        <w:t>经过局领导前期工作安排，办公室牵头将每项工作任务细分到具体的科室负责，我单位完成了测绘办公用房单位面积12768.26平方米，财政信息系统服务对象108家，预算公开单位104家，决算公开单位104家，组织财务人员参与培训人数90人等工作，根据绩效评价工作要求，我单位对项目的实施效果进行了自评，从中发现不足，后期加以改正。</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2"/>
        <w:rPr>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190</w:t>
      </w:r>
      <w:r>
        <w:rPr>
          <w:color w:val="auto"/>
          <w:highlight w:val="none"/>
        </w:rPr>
        <w:t>万元，其中财政资金</w:t>
      </w:r>
      <w:r>
        <w:rPr>
          <w:rFonts w:hint="eastAsia"/>
          <w:color w:val="auto"/>
          <w:highlight w:val="none"/>
          <w:lang w:val="en-US" w:eastAsia="zh-CN"/>
        </w:rPr>
        <w:t>190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190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ind w:firstLine="560"/>
        <w:rPr>
          <w:rFonts w:hint="eastAsia"/>
          <w:color w:val="auto"/>
          <w:highlight w:val="none"/>
          <w:lang w:val="en-US" w:eastAsia="zh-CN"/>
        </w:rPr>
      </w:pPr>
      <w:r>
        <w:rPr>
          <w:rFonts w:hint="eastAsia"/>
          <w:color w:val="auto"/>
          <w:highlight w:val="none"/>
          <w:lang w:val="en-US" w:eastAsia="zh-CN"/>
        </w:rPr>
        <w:t>截止到2023年12月31日，本项目实际支付资金181.67万元，预算执行率95.62%，结余资金8.32万元。项目资金主要用于支付财政系统运维服务费用12万元，平台运维服务费用23.76万元，绩效管理服务费及系统服务费用83.63万元。</w:t>
      </w: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pStyle w:val="6"/>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为：1.全面推进财政票据管理改革工作，构建新型高效的财政票据监管体系，开创财政票据管理工作的新局面。 2.全面推进预算绩效管理，将绩效观念和方法深度融入预算编制、执行、监督全过程，构建事前、事中、事后绩效管理闭环系统。 3.保障系统网络畅通，保障网络和计算机等设备运行畅通，保障业务软件运行畅通。 4.发挥信息技术对财政改革的重要作用、财政管理逐步实现信息化、科学化、规范化，注重硬件建设，构建稳定的信息平台，大力引进业务软件，支撑财政改革，采取措施，确保数据安全 5.做好2023年全县财务人员各类财政业务培训，进一步提高我县财政我县财政业务水平。</w:t>
      </w:r>
    </w:p>
    <w:p>
      <w:pPr>
        <w:pStyle w:val="6"/>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“测绘办公用房单位面积”指标，预期指标值为≥12768.26平方米。</w:t>
      </w:r>
    </w:p>
    <w:p>
      <w:pPr>
        <w:ind w:firstLine="560"/>
        <w:rPr>
          <w:rFonts w:hint="default"/>
          <w:color w:val="auto"/>
          <w:highlight w:val="none"/>
          <w:lang w:val="en-US"/>
        </w:rPr>
      </w:pPr>
      <w:r>
        <w:rPr>
          <w:rFonts w:hint="eastAsia"/>
          <w:color w:val="auto"/>
          <w:highlight w:val="none"/>
        </w:rPr>
        <w:t>“财政信息系统服务对象”指标，预期指标值为=108家</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rPr>
        <w:t>“2023年预算公开单位”指标，预期指标值为=104家</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rPr>
        <w:t>“2022年决算公开单位”指标，预期指标值为=106家</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“组织财务人员参与培训人数”指标，预期指标值为</w:t>
      </w:r>
      <w:r>
        <w:rPr>
          <w:rFonts w:hint="eastAsia"/>
          <w:color w:val="auto"/>
          <w:highlight w:val="none"/>
          <w:lang w:val="en-US" w:eastAsia="zh-CN"/>
        </w:rPr>
        <w:t>≥</w:t>
      </w:r>
      <w:r>
        <w:rPr>
          <w:rFonts w:hint="eastAsia"/>
          <w:color w:val="auto"/>
          <w:highlight w:val="none"/>
        </w:rPr>
        <w:t>90人</w:t>
      </w:r>
      <w:r>
        <w:rPr>
          <w:rFonts w:hint="eastAsia"/>
          <w:color w:val="auto"/>
          <w:highlight w:val="none"/>
          <w:lang w:val="en-US" w:eastAsia="zh-CN"/>
        </w:rPr>
        <w:t>。</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“资金规范管理使用率”指标，预期指标值为=100%。</w:t>
      </w:r>
    </w:p>
    <w:p>
      <w:pPr>
        <w:ind w:firstLine="560"/>
        <w:rPr>
          <w:rFonts w:hint="eastAsia"/>
          <w:color w:val="auto"/>
          <w:highlight w:val="none"/>
          <w:lang w:val="en-US" w:eastAsia="zh-CN"/>
        </w:rPr>
      </w:pPr>
      <w:r>
        <w:rPr>
          <w:rFonts w:hint="eastAsia"/>
          <w:color w:val="auto"/>
          <w:highlight w:val="none"/>
        </w:rPr>
        <w:t>“财政信息系统正常运转率”指标，预期指标值为</w:t>
      </w:r>
      <w:r>
        <w:rPr>
          <w:rFonts w:hint="eastAsia"/>
          <w:color w:val="auto"/>
          <w:highlight w:val="none"/>
          <w:lang w:val="en-US" w:eastAsia="zh-CN"/>
        </w:rPr>
        <w:t>≥</w:t>
      </w:r>
      <w:r>
        <w:rPr>
          <w:rFonts w:hint="eastAsia"/>
          <w:color w:val="auto"/>
          <w:highlight w:val="none"/>
        </w:rPr>
        <w:t>95%</w:t>
      </w:r>
      <w:r>
        <w:rPr>
          <w:rFonts w:hint="eastAsia"/>
          <w:color w:val="auto"/>
          <w:highlight w:val="none"/>
          <w:lang w:val="en-US" w:eastAsia="zh-CN"/>
        </w:rPr>
        <w:t>。</w:t>
      </w:r>
    </w:p>
    <w:p>
      <w:pPr>
        <w:ind w:firstLine="560"/>
        <w:rPr>
          <w:color w:val="auto"/>
          <w:highlight w:val="none"/>
        </w:rPr>
      </w:pPr>
      <w:r>
        <w:rPr>
          <w:rFonts w:hint="eastAsia"/>
          <w:color w:val="auto"/>
          <w:highlight w:val="none"/>
        </w:rPr>
        <w:t>“预算、决算公开内容合格率”指标，预期指标值为=100%</w:t>
      </w:r>
      <w:r>
        <w:rPr>
          <w:rFonts w:hint="eastAsia"/>
          <w:color w:val="auto"/>
          <w:highlight w:val="none"/>
          <w:lang w:val="en-US" w:eastAsia="zh-CN"/>
        </w:rPr>
        <w:t>。</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“系统故障修复响应时间”指标，预期指标值为</w:t>
      </w:r>
      <w:r>
        <w:rPr>
          <w:rFonts w:hint="eastAsia"/>
          <w:color w:val="auto"/>
          <w:highlight w:val="none"/>
          <w:lang w:val="en-US" w:eastAsia="zh-CN"/>
        </w:rPr>
        <w:t>≤</w:t>
      </w:r>
      <w:r>
        <w:rPr>
          <w:rFonts w:hint="eastAsia"/>
          <w:color w:val="auto"/>
          <w:highlight w:val="none"/>
        </w:rPr>
        <w:t>2小时</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“内控填报工作按时完成率”指标，预期指标值为</w:t>
      </w:r>
      <w:r>
        <w:rPr>
          <w:rFonts w:hint="eastAsia"/>
          <w:color w:val="auto"/>
          <w:highlight w:val="none"/>
          <w:lang w:val="en-US" w:eastAsia="zh-CN"/>
        </w:rPr>
        <w:t>≥</w:t>
      </w:r>
      <w:r>
        <w:rPr>
          <w:rFonts w:hint="eastAsia"/>
          <w:color w:val="auto"/>
          <w:highlight w:val="none"/>
        </w:rPr>
        <w:t>95%</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“2019年资产条形码打印仪器维修维护费”指标，预期指标值为</w:t>
      </w:r>
      <w:r>
        <w:rPr>
          <w:rFonts w:hint="eastAsia"/>
          <w:color w:val="auto"/>
          <w:highlight w:val="none"/>
          <w:lang w:val="en-US" w:eastAsia="zh-CN"/>
        </w:rPr>
        <w:t>≤</w:t>
      </w:r>
      <w:r>
        <w:rPr>
          <w:rFonts w:hint="eastAsia"/>
          <w:color w:val="auto"/>
          <w:highlight w:val="none"/>
        </w:rPr>
        <w:t>10万元；</w:t>
      </w:r>
    </w:p>
    <w:p>
      <w:pPr>
        <w:ind w:firstLine="560"/>
        <w:rPr>
          <w:rFonts w:hint="eastAsia"/>
          <w:color w:val="auto"/>
          <w:highlight w:val="none"/>
        </w:rPr>
      </w:pPr>
      <w:r>
        <w:rPr>
          <w:rFonts w:hint="eastAsia"/>
          <w:color w:val="auto"/>
          <w:highlight w:val="none"/>
        </w:rPr>
        <w:t>“办公用房单位面积测绘费”指标，预期指标值为</w:t>
      </w:r>
      <w:r>
        <w:rPr>
          <w:rFonts w:hint="eastAsia"/>
          <w:color w:val="auto"/>
          <w:highlight w:val="none"/>
          <w:lang w:val="en-US" w:eastAsia="zh-CN"/>
        </w:rPr>
        <w:t>≤</w:t>
      </w:r>
      <w:r>
        <w:rPr>
          <w:rFonts w:hint="eastAsia"/>
          <w:color w:val="auto"/>
          <w:highlight w:val="none"/>
        </w:rPr>
        <w:t>5万元；</w:t>
      </w:r>
    </w:p>
    <w:p>
      <w:pPr>
        <w:ind w:firstLine="560"/>
        <w:rPr>
          <w:color w:val="auto"/>
          <w:highlight w:val="none"/>
        </w:rPr>
      </w:pPr>
      <w:r>
        <w:rPr>
          <w:rFonts w:hint="eastAsia"/>
          <w:color w:val="auto"/>
          <w:highlight w:val="none"/>
        </w:rPr>
        <w:t>“财政系统运维服务费”指标，预期指标值为</w:t>
      </w:r>
      <w:r>
        <w:rPr>
          <w:rFonts w:hint="eastAsia"/>
          <w:color w:val="auto"/>
          <w:highlight w:val="none"/>
          <w:lang w:val="en-US" w:eastAsia="zh-CN"/>
        </w:rPr>
        <w:t>≤</w:t>
      </w:r>
      <w:r>
        <w:rPr>
          <w:rFonts w:hint="eastAsia"/>
          <w:color w:val="auto"/>
          <w:highlight w:val="none"/>
        </w:rPr>
        <w:t>19.01万元；</w:t>
      </w:r>
    </w:p>
    <w:p>
      <w:pPr>
        <w:ind w:firstLine="560"/>
        <w:rPr>
          <w:rFonts w:hint="eastAsia"/>
          <w:color w:val="auto"/>
          <w:highlight w:val="none"/>
        </w:rPr>
      </w:pPr>
      <w:r>
        <w:rPr>
          <w:rFonts w:hint="eastAsia"/>
          <w:color w:val="auto"/>
          <w:highlight w:val="none"/>
        </w:rPr>
        <w:t>“2022年内控系统填报服务费”指标，预期指标值为</w:t>
      </w:r>
      <w:r>
        <w:rPr>
          <w:rFonts w:hint="eastAsia"/>
          <w:color w:val="auto"/>
          <w:highlight w:val="none"/>
          <w:lang w:val="en-US" w:eastAsia="zh-CN"/>
        </w:rPr>
        <w:t>≤</w:t>
      </w:r>
      <w:r>
        <w:rPr>
          <w:rFonts w:hint="eastAsia"/>
          <w:color w:val="auto"/>
          <w:highlight w:val="none"/>
        </w:rPr>
        <w:t>5万元；</w:t>
      </w:r>
    </w:p>
    <w:p>
      <w:pPr>
        <w:ind w:firstLine="560"/>
        <w:rPr>
          <w:color w:val="auto"/>
          <w:highlight w:val="none"/>
        </w:rPr>
      </w:pPr>
      <w:r>
        <w:rPr>
          <w:rFonts w:hint="eastAsia"/>
          <w:color w:val="auto"/>
          <w:highlight w:val="none"/>
        </w:rPr>
        <w:t>“平台运维服务费”指标，预期指标值为</w:t>
      </w:r>
      <w:r>
        <w:rPr>
          <w:rFonts w:hint="eastAsia"/>
          <w:color w:val="auto"/>
          <w:highlight w:val="none"/>
          <w:lang w:val="en-US" w:eastAsia="zh-CN"/>
        </w:rPr>
        <w:t>≤</w:t>
      </w:r>
      <w:r>
        <w:rPr>
          <w:rFonts w:hint="eastAsia"/>
          <w:color w:val="auto"/>
          <w:highlight w:val="none"/>
        </w:rPr>
        <w:t>35万元；</w:t>
      </w:r>
    </w:p>
    <w:p>
      <w:pPr>
        <w:ind w:firstLine="560"/>
        <w:rPr>
          <w:rFonts w:hint="eastAsia"/>
          <w:color w:val="auto"/>
          <w:highlight w:val="none"/>
        </w:rPr>
      </w:pPr>
      <w:r>
        <w:rPr>
          <w:rFonts w:hint="eastAsia"/>
          <w:color w:val="auto"/>
          <w:highlight w:val="none"/>
        </w:rPr>
        <w:t>“绩效管理服务费及系统服务费”指标，预期指标值为</w:t>
      </w:r>
      <w:r>
        <w:rPr>
          <w:rFonts w:hint="eastAsia"/>
          <w:color w:val="auto"/>
          <w:highlight w:val="none"/>
          <w:lang w:val="en-US" w:eastAsia="zh-CN"/>
        </w:rPr>
        <w:t>≤</w:t>
      </w:r>
      <w:r>
        <w:rPr>
          <w:rFonts w:hint="eastAsia"/>
          <w:color w:val="auto"/>
          <w:highlight w:val="none"/>
        </w:rPr>
        <w:t>96.80万元；</w:t>
      </w:r>
    </w:p>
    <w:p>
      <w:pPr>
        <w:pStyle w:val="2"/>
        <w:rPr>
          <w:color w:val="auto"/>
          <w:highlight w:val="none"/>
        </w:rPr>
      </w:pPr>
      <w:r>
        <w:rPr>
          <w:rFonts w:hint="eastAsia"/>
          <w:color w:val="auto"/>
          <w:highlight w:val="none"/>
        </w:rPr>
        <w:t>“2023年部门预算、决算公开服务费”指标，预期指标值为</w:t>
      </w:r>
      <w:r>
        <w:rPr>
          <w:rFonts w:hint="eastAsia"/>
          <w:color w:val="auto"/>
          <w:highlight w:val="none"/>
          <w:lang w:val="en-US" w:eastAsia="zh-CN"/>
        </w:rPr>
        <w:t>≤</w:t>
      </w:r>
      <w:r>
        <w:rPr>
          <w:rFonts w:hint="eastAsia"/>
          <w:color w:val="auto"/>
          <w:highlight w:val="none"/>
        </w:rPr>
        <w:t>9.20万元；</w:t>
      </w:r>
    </w:p>
    <w:p>
      <w:pPr>
        <w:ind w:firstLine="560"/>
        <w:rPr>
          <w:rFonts w:hint="eastAsia"/>
          <w:color w:val="auto"/>
          <w:highlight w:val="none"/>
        </w:rPr>
      </w:pPr>
      <w:r>
        <w:rPr>
          <w:rFonts w:hint="eastAsia"/>
          <w:color w:val="auto"/>
          <w:highlight w:val="none"/>
        </w:rPr>
        <w:t>“2023年编制政府财务报告费用”指标，预期指标值为</w:t>
      </w:r>
      <w:r>
        <w:rPr>
          <w:rFonts w:hint="eastAsia"/>
          <w:color w:val="auto"/>
          <w:highlight w:val="none"/>
          <w:lang w:val="en-US" w:eastAsia="zh-CN"/>
        </w:rPr>
        <w:t>≤</w:t>
      </w:r>
      <w:r>
        <w:rPr>
          <w:rFonts w:hint="eastAsia"/>
          <w:color w:val="auto"/>
          <w:highlight w:val="none"/>
        </w:rPr>
        <w:t>10万元；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“保障财政改革业务工作需要”指标，预期指标值为有效保障；</w:t>
      </w:r>
    </w:p>
    <w:p>
      <w:pPr>
        <w:ind w:firstLine="560"/>
        <w:rPr>
          <w:color w:val="auto"/>
          <w:highlight w:val="none"/>
        </w:rPr>
      </w:pPr>
      <w:r>
        <w:rPr>
          <w:rFonts w:hint="eastAsia"/>
          <w:color w:val="auto"/>
          <w:highlight w:val="none"/>
        </w:rPr>
        <w:t>“促进财政管理工作信息化、科学化、规范化”指标，预期指标值为效果明显；</w:t>
      </w:r>
    </w:p>
    <w:p>
      <w:pPr>
        <w:ind w:firstLine="560"/>
        <w:rPr>
          <w:color w:val="auto"/>
          <w:highlight w:val="none"/>
        </w:rPr>
      </w:pPr>
      <w:r>
        <w:rPr>
          <w:rFonts w:hint="eastAsia"/>
          <w:color w:val="auto"/>
          <w:highlight w:val="none"/>
        </w:rPr>
        <w:t>③生态效益指标</w:t>
      </w:r>
    </w:p>
    <w:p>
      <w:pPr>
        <w:ind w:firstLine="562"/>
        <w:rPr>
          <w:rFonts w:hint="eastAsia" w:eastAsia="仿宋"/>
          <w:color w:val="auto"/>
          <w:highlight w:val="none"/>
          <w:lang w:val="en-US" w:eastAsia="zh-CN"/>
        </w:rPr>
      </w:pPr>
      <w:r>
        <w:rPr>
          <w:rFonts w:hint="eastAsia" w:eastAsia="仿宋"/>
          <w:color w:val="auto"/>
          <w:highlight w:val="none"/>
          <w:lang w:val="en-US"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“全县预算单位人员对财政工作满意度”指标，预期指标值为</w:t>
      </w:r>
      <w:r>
        <w:rPr>
          <w:rFonts w:hint="eastAsia"/>
          <w:color w:val="auto"/>
          <w:highlight w:val="none"/>
          <w:lang w:val="en-US" w:eastAsia="zh-CN"/>
        </w:rPr>
        <w:t>≥</w:t>
      </w:r>
      <w:r>
        <w:rPr>
          <w:rFonts w:hint="eastAsia"/>
          <w:color w:val="auto"/>
          <w:highlight w:val="none"/>
        </w:rPr>
        <w:t>90%；</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21664"/>
      <w:bookmarkStart w:id="1" w:name="_Toc12868"/>
      <w:bookmarkStart w:id="2" w:name="_Toc22169_WPSOffice_Level2"/>
      <w:bookmarkStart w:id="3" w:name="_Toc5258"/>
      <w:bookmarkStart w:id="4" w:name="_Toc5462343"/>
      <w:bookmarkStart w:id="5" w:name="_Toc26632"/>
      <w:bookmarkStart w:id="6" w:name="_Toc480473081"/>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此次我单位根据《财政支出绩效评价管理暂行办法》（财预〔2020〕10号）文件要求实施评价工作，本次评价对象为全县财政业务工作管理和服务项目，评价核心为项目</w:t>
      </w:r>
      <w:r>
        <w:rPr>
          <w:rFonts w:hint="eastAsia"/>
          <w:color w:val="auto"/>
          <w:highlight w:val="none"/>
          <w:lang w:val="en-US" w:eastAsia="zh-CN"/>
        </w:rPr>
        <w:t>的资金投入、产出及效益</w:t>
      </w:r>
      <w:r>
        <w:rPr>
          <w:rFonts w:hint="eastAsia"/>
          <w:color w:val="auto"/>
          <w:highlight w:val="none"/>
        </w:rPr>
        <w:t>。</w:t>
      </w:r>
    </w:p>
    <w:p>
      <w:pPr>
        <w:pStyle w:val="6"/>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26131"/>
      <w:bookmarkStart w:id="9" w:name="_Toc1913"/>
      <w:bookmarkStart w:id="10" w:name="_Toc428278230"/>
      <w:bookmarkStart w:id="11" w:name="_Toc419984722"/>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（1）评价组组长：郝亚玲，</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（2）评价组成员：张娜，</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（3）评价组成员：刘雨欣，</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严格落实“三重一大</w:t>
      </w:r>
      <w:r>
        <w:rPr>
          <w:rFonts w:hint="default"/>
          <w:color w:val="auto"/>
          <w:highlight w:val="none"/>
          <w:lang w:val="en-US" w:eastAsia="zh-CN"/>
        </w:rPr>
        <w:t>”</w:t>
      </w:r>
      <w:r>
        <w:rPr>
          <w:rFonts w:hint="eastAsia"/>
          <w:color w:val="auto"/>
          <w:highlight w:val="none"/>
          <w:lang w:val="en-US" w:eastAsia="zh-CN"/>
        </w:rPr>
        <w:t>议事规则，决定该项目申报2023年预算</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ascii="Times New Roman" w:hAnsi="Times New Roman" w:eastAsia="仿宋_GB2312" w:cs="Times New Roman"/>
          <w:color w:val="auto"/>
          <w:kern w:val="2"/>
          <w:sz w:val="28"/>
          <w:szCs w:val="24"/>
          <w:highlight w:val="none"/>
          <w:lang w:val="en-US" w:eastAsia="zh-CN" w:bidi="ar-SA"/>
        </w:rPr>
        <w:t>建立预算绩效目标双月报制度，实时掌握项目绩效目标完成情况、实施进度和支出执行进度，当绩效运行与预期目标发生偏差时，及时予以纠正</w:t>
      </w:r>
      <w:r>
        <w:rPr>
          <w:rFonts w:hint="eastAsia"/>
          <w:color w:val="auto"/>
          <w:highlight w:val="none"/>
        </w:rPr>
        <w:t>。</w:t>
      </w:r>
    </w:p>
    <w:p>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该项目的实施保障了我县财政系统的运转，提高了会计水平，将预算绩效管理更加的走深走实。</w:t>
      </w:r>
    </w:p>
    <w:p>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该项目的实施保障了财政改革业务工作需要及促进财政管理工作信息化、科学化。</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94.11分，绩效评级为“优秀”。综合评价结论如下：本项目决策指标共设置6个，满分20分，得分率100%；项目过程指标共设置5个，满分20分，得分率99.2%；项目产出指标共设置10个，满分24分，得分率89.79%；项目成本指标共设置8个，满分12分，得分率72.7%；项目效益指标共设置3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bookmarkEnd w:id="15"/>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lang w:val="en-US" w:eastAsia="zh-CN"/>
        </w:rPr>
        <w:t xml:space="preserve"> </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eastAsia="zh-CN"/>
        </w:rPr>
        <w:t>托克逊县财政局职能配置、内设机构和人员编制规定</w:t>
      </w:r>
      <w:r>
        <w:rPr>
          <w:rFonts w:hint="eastAsia"/>
          <w:color w:val="auto"/>
          <w:highlight w:val="none"/>
          <w:lang w:eastAsia="zh-Hans"/>
        </w:rPr>
        <w:t>》中职责范围</w:t>
      </w:r>
      <w:r>
        <w:rPr>
          <w:rFonts w:hint="eastAsia"/>
          <w:color w:val="auto"/>
          <w:highlight w:val="none"/>
        </w:rPr>
        <w:t>中的“</w:t>
      </w:r>
      <w:r>
        <w:rPr>
          <w:rFonts w:hint="eastAsia"/>
          <w:color w:val="auto"/>
          <w:highlight w:val="none"/>
          <w:lang w:eastAsia="zh-CN"/>
        </w:rPr>
        <w:t>第三条县财政局贯彻落实党中央关于财经工作的方针政策和决策部署以及自治区党委、市委、县委工作要求，在履行职责过程中坚持和加强党对财政工作及国有资产监督管理工作的集中统一领导</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一般公共预算</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其他财政事务支出</w:t>
      </w:r>
      <w:r>
        <w:rPr>
          <w:rFonts w:hint="eastAsia"/>
          <w:color w:val="auto"/>
          <w:highlight w:val="none"/>
          <w:lang w:eastAsia="zh-CN"/>
        </w:rPr>
        <w:t>，</w:t>
      </w:r>
      <w:r>
        <w:rPr>
          <w:rFonts w:hint="eastAsia"/>
          <w:color w:val="auto"/>
          <w:highlight w:val="none"/>
        </w:rPr>
        <w:t>经济分类为</w:t>
      </w:r>
      <w:r>
        <w:rPr>
          <w:rFonts w:hint="eastAsia"/>
          <w:color w:val="auto"/>
          <w:highlight w:val="none"/>
          <w:lang w:eastAsia="zh-CN"/>
        </w:rPr>
        <w:t>委托业务费及其他商品和服务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预算绩效管理</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单位按照程序向财政局提交了项目资金申请报告、该项目</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b/>
          <w:bCs/>
          <w:color w:val="auto"/>
          <w:highlight w:val="none"/>
          <w:lang w:val="en-US" w:eastAsia="zh-CN"/>
        </w:rPr>
        <w:t>一是</w:t>
      </w:r>
      <w:r>
        <w:rPr>
          <w:rFonts w:hint="eastAsia"/>
          <w:color w:val="auto"/>
          <w:highlight w:val="none"/>
          <w:lang w:val="en-US" w:eastAsia="zh-CN"/>
        </w:rPr>
        <w:t>全面推进财政票据管理改革工作，构建新型高效的财政票据监管体系，开创财政票据管理工作的新局面。</w:t>
      </w:r>
    </w:p>
    <w:p>
      <w:pPr>
        <w:bidi w:val="0"/>
        <w:ind w:left="0" w:leftChars="0" w:firstLine="0" w:firstLineChars="0"/>
        <w:rPr>
          <w:rFonts w:hint="eastAsia"/>
          <w:color w:val="auto"/>
          <w:highlight w:val="none"/>
          <w:lang w:val="en-US" w:eastAsia="zh-CN"/>
        </w:rPr>
      </w:pPr>
      <w:r>
        <w:rPr>
          <w:rFonts w:hint="eastAsia"/>
          <w:b/>
          <w:bCs/>
          <w:color w:val="auto"/>
          <w:highlight w:val="none"/>
          <w:lang w:val="en-US" w:eastAsia="zh-CN"/>
        </w:rPr>
        <w:t>二是</w:t>
      </w:r>
      <w:r>
        <w:rPr>
          <w:rFonts w:hint="eastAsia"/>
          <w:color w:val="auto"/>
          <w:highlight w:val="none"/>
          <w:lang w:val="en-US" w:eastAsia="zh-CN"/>
        </w:rPr>
        <w:t xml:space="preserve">全面推进预算绩效管理，将绩效观念和方法深度融入预算编制、执行、监督全过程，构建事前、事中、事后绩效管理闭环系统。 </w:t>
      </w:r>
      <w:r>
        <w:rPr>
          <w:rFonts w:hint="eastAsia"/>
          <w:b/>
          <w:bCs/>
          <w:color w:val="auto"/>
          <w:highlight w:val="none"/>
          <w:lang w:val="en-US" w:eastAsia="zh-CN"/>
        </w:rPr>
        <w:t>三是</w:t>
      </w:r>
      <w:r>
        <w:rPr>
          <w:rFonts w:hint="eastAsia"/>
          <w:color w:val="auto"/>
          <w:highlight w:val="none"/>
          <w:lang w:val="en-US" w:eastAsia="zh-CN"/>
        </w:rPr>
        <w:t>保障系统网络畅通，保障网络和计算机等设备运行畅通，保障业务软件运行畅通。</w:t>
      </w:r>
      <w:r>
        <w:rPr>
          <w:rFonts w:hint="eastAsia"/>
          <w:b/>
          <w:bCs/>
          <w:color w:val="auto"/>
          <w:highlight w:val="none"/>
          <w:lang w:val="en-US" w:eastAsia="zh-CN"/>
        </w:rPr>
        <w:t>四是</w:t>
      </w:r>
      <w:r>
        <w:rPr>
          <w:rFonts w:hint="eastAsia"/>
          <w:color w:val="auto"/>
          <w:highlight w:val="none"/>
          <w:lang w:val="en-US" w:eastAsia="zh-CN"/>
        </w:rPr>
        <w:t>发挥信息技术对财政改革的重要作用、财政管理逐步实现信息化、科学化、规范化，注重硬件建设，构建稳定的信息平台，大力引进业务软件，支撑财政改革，采取措施，确保数据安全 。</w:t>
      </w:r>
      <w:r>
        <w:rPr>
          <w:rFonts w:hint="eastAsia"/>
          <w:b/>
          <w:bCs/>
          <w:color w:val="auto"/>
          <w:highlight w:val="none"/>
          <w:lang w:val="en-US" w:eastAsia="zh-CN"/>
        </w:rPr>
        <w:t>五是</w:t>
      </w:r>
      <w:r>
        <w:rPr>
          <w:rFonts w:hint="eastAsia"/>
          <w:color w:val="auto"/>
          <w:highlight w:val="none"/>
          <w:lang w:val="en-US" w:eastAsia="zh-CN"/>
        </w:rPr>
        <w:t>做好2023年全县财务人员各类财政业务培训，进一步提高我县财政我县财政业务水平。</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190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190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190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预算绩效管理、财政平台运行维护等支出</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本项目资金主要用于2019年资产条形码打印仪器维修维护</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办公用房单位面积测绘</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财政系统运维服务</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19.01</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eastAsia="zh-CN"/>
        </w:rPr>
        <w:t>、2022年内控系统填报服务费</w:t>
      </w:r>
      <w:r>
        <w:rPr>
          <w:rFonts w:hint="eastAsia" w:ascii="仿宋_GB2312" w:cs="仿宋_GB2312"/>
          <w:color w:val="auto"/>
          <w:sz w:val="28"/>
          <w:szCs w:val="28"/>
          <w:highlight w:val="none"/>
          <w:lang w:val="en-US" w:eastAsia="zh-CN"/>
        </w:rPr>
        <w:t>用5万元、</w:t>
      </w:r>
      <w:r>
        <w:rPr>
          <w:rFonts w:hint="eastAsia" w:ascii="仿宋_GB2312" w:cs="仿宋_GB2312"/>
          <w:color w:val="auto"/>
          <w:sz w:val="28"/>
          <w:szCs w:val="28"/>
          <w:highlight w:val="none"/>
          <w:lang w:eastAsia="zh-CN"/>
        </w:rPr>
        <w:t>平台运维服务</w:t>
      </w:r>
      <w:r>
        <w:rPr>
          <w:rFonts w:hint="eastAsia" w:ascii="仿宋_GB2312" w:cs="仿宋_GB2312"/>
          <w:color w:val="auto"/>
          <w:sz w:val="28"/>
          <w:szCs w:val="28"/>
          <w:highlight w:val="none"/>
        </w:rPr>
        <w:t>费用35万元</w:t>
      </w:r>
      <w:r>
        <w:rPr>
          <w:rFonts w:hint="eastAsia" w:ascii="仿宋_GB2312" w:cs="仿宋_GB2312"/>
          <w:color w:val="auto"/>
          <w:sz w:val="28"/>
          <w:szCs w:val="28"/>
          <w:highlight w:val="none"/>
          <w:lang w:eastAsia="zh-CN"/>
        </w:rPr>
        <w:t>、绩效管理服务费及系统服务</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96.8万元</w:t>
      </w:r>
      <w:r>
        <w:rPr>
          <w:rFonts w:hint="eastAsia" w:ascii="仿宋_GB2312" w:cs="仿宋_GB2312"/>
          <w:color w:val="auto"/>
          <w:sz w:val="28"/>
          <w:szCs w:val="28"/>
          <w:highlight w:val="none"/>
          <w:lang w:eastAsia="zh-CN"/>
        </w:rPr>
        <w:t>、2023年部门预算、决算公开服务</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9.2万元</w:t>
      </w:r>
      <w:r>
        <w:rPr>
          <w:rFonts w:hint="eastAsia" w:ascii="仿宋_GB2312" w:cs="仿宋_GB2312"/>
          <w:color w:val="auto"/>
          <w:sz w:val="28"/>
          <w:szCs w:val="28"/>
          <w:highlight w:val="none"/>
          <w:lang w:eastAsia="zh-CN"/>
        </w:rPr>
        <w:t>、2023年编制政府财务报告费用</w:t>
      </w:r>
      <w:r>
        <w:rPr>
          <w:rFonts w:hint="eastAsia" w:ascii="仿宋_GB2312" w:cs="仿宋_GB2312"/>
          <w:color w:val="auto"/>
          <w:sz w:val="28"/>
          <w:szCs w:val="28"/>
          <w:highlight w:val="none"/>
          <w:lang w:val="en-US" w:eastAsia="zh-CN"/>
        </w:rPr>
        <w:t>10万元</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w:t>
      </w:r>
      <w:r>
        <w:rPr>
          <w:rFonts w:hint="eastAsia" w:ascii="仿宋_GB2312" w:cs="仿宋_GB2312"/>
          <w:color w:val="auto"/>
          <w:sz w:val="28"/>
          <w:szCs w:val="28"/>
          <w:highlight w:val="none"/>
          <w:lang w:val="en-US" w:eastAsia="zh-CN"/>
        </w:rPr>
        <w:t>以</w:t>
      </w:r>
      <w:r>
        <w:rPr>
          <w:rFonts w:hint="eastAsia" w:ascii="仿宋_GB2312" w:cs="仿宋_GB2312"/>
          <w:color w:val="auto"/>
          <w:sz w:val="28"/>
          <w:szCs w:val="28"/>
          <w:highlight w:val="none"/>
          <w:lang w:val="en-US" w:eastAsia="zh-Hans"/>
        </w:rPr>
        <w:t>《关于</w:t>
      </w:r>
      <w:r>
        <w:rPr>
          <w:rFonts w:hint="eastAsia" w:ascii="仿宋_GB2312" w:cs="仿宋_GB2312"/>
          <w:color w:val="auto"/>
          <w:sz w:val="28"/>
          <w:szCs w:val="28"/>
          <w:highlight w:val="none"/>
          <w:lang w:val="en-US" w:eastAsia="zh-CN"/>
        </w:rPr>
        <w:t>申请全县财政业务工作管理和服务项目资金的请示</w:t>
      </w:r>
      <w:r>
        <w:rPr>
          <w:rFonts w:hint="eastAsia" w:ascii="仿宋_GB2312" w:cs="仿宋_GB2312"/>
          <w:color w:val="auto"/>
          <w:sz w:val="28"/>
          <w:szCs w:val="28"/>
          <w:highlight w:val="none"/>
          <w:lang w:val="en-US" w:eastAsia="zh-Hans"/>
        </w:rPr>
        <w:t>》</w:t>
      </w:r>
      <w:r>
        <w:rPr>
          <w:rFonts w:hint="eastAsia" w:ascii="仿宋_GB2312" w:cs="仿宋_GB2312"/>
          <w:color w:val="auto"/>
          <w:sz w:val="28"/>
          <w:szCs w:val="28"/>
          <w:highlight w:val="none"/>
          <w:lang w:val="en-US" w:eastAsia="zh-CN"/>
        </w:rPr>
        <w:t>和《全县财政业务工作管理和服务项目实施方案》</w:t>
      </w:r>
      <w:r>
        <w:rPr>
          <w:rFonts w:hint="eastAsia" w:ascii="仿宋_GB2312" w:cs="仿宋_GB2312"/>
          <w:color w:val="auto"/>
          <w:sz w:val="28"/>
          <w:szCs w:val="28"/>
          <w:highlight w:val="none"/>
          <w:lang w:val="en-US" w:eastAsia="zh-Hans"/>
        </w:rPr>
        <w:t>为依据进行资金分配，预算资金分配依据充分</w:t>
      </w:r>
      <w:r>
        <w:rPr>
          <w:rFonts w:hint="eastAsia" w:ascii="仿宋_GB2312" w:cs="仿宋_GB2312"/>
          <w:color w:val="auto"/>
          <w:sz w:val="28"/>
          <w:szCs w:val="28"/>
          <w:highlight w:val="none"/>
          <w:lang w:val="en-US" w:eastAsia="zh-CN"/>
        </w:rPr>
        <w:t>。根据《全县财政业务工作管理和服务项目资金下达文件》文件显示，本项目实际到位资金190万元，实际分配资金与我单位提交申请的资金额度一致，</w:t>
      </w:r>
      <w:r>
        <w:rPr>
          <w:rFonts w:hint="eastAsia" w:ascii="仿宋_GB2312" w:cs="仿宋_GB2312"/>
          <w:color w:val="auto"/>
          <w:sz w:val="28"/>
          <w:szCs w:val="28"/>
          <w:highlight w:val="none"/>
          <w:lang w:val="en-US" w:eastAsia="zh-Hans"/>
        </w:rPr>
        <w:t>资金分配额度合理，与</w:t>
      </w:r>
      <w:r>
        <w:rPr>
          <w:rFonts w:hint="eastAsia" w:ascii="仿宋_GB2312" w:cs="仿宋_GB2312"/>
          <w:color w:val="auto"/>
          <w:sz w:val="28"/>
          <w:szCs w:val="28"/>
          <w:highlight w:val="none"/>
          <w:lang w:val="en-US" w:eastAsia="zh-CN"/>
        </w:rPr>
        <w:t>我</w:t>
      </w:r>
      <w:r>
        <w:rPr>
          <w:rFonts w:hint="eastAsia" w:ascii="仿宋_GB2312" w:cs="仿宋_GB2312"/>
          <w:color w:val="auto"/>
          <w:sz w:val="28"/>
          <w:szCs w:val="28"/>
          <w:highlight w:val="none"/>
          <w:lang w:val="en-US" w:eastAsia="zh-Hans"/>
        </w:rPr>
        <w:t>单位实际</w:t>
      </w:r>
      <w:r>
        <w:rPr>
          <w:rFonts w:hint="eastAsia" w:ascii="仿宋_GB2312" w:cs="仿宋_GB2312"/>
          <w:color w:val="auto"/>
          <w:sz w:val="28"/>
          <w:szCs w:val="28"/>
          <w:highlight w:val="none"/>
          <w:lang w:val="en-US" w:eastAsia="zh-CN"/>
        </w:rPr>
        <w:t>需求</w:t>
      </w:r>
      <w:r>
        <w:rPr>
          <w:rFonts w:hint="eastAsia" w:ascii="仿宋_GB2312" w:cs="仿宋_GB2312"/>
          <w:color w:val="auto"/>
          <w:sz w:val="28"/>
          <w:szCs w:val="28"/>
          <w:highlight w:val="none"/>
          <w:lang w:val="en-US" w:eastAsia="zh-Hans"/>
        </w:rPr>
        <w:t>相适应</w:t>
      </w:r>
      <w:r>
        <w:rPr>
          <w:rFonts w:hint="eastAsia" w:ascii="仿宋_GB2312" w:cs="仿宋_GB2312"/>
          <w:color w:val="auto"/>
          <w:sz w:val="28"/>
          <w:szCs w:val="28"/>
          <w:highlight w:val="none"/>
          <w:lang w:val="en-US" w:eastAsia="zh-CN"/>
        </w:rPr>
        <w:t>。综上所述，本指标满分为2分，根据评分标准得2分，本项目资金分配合理。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19.84</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190</w:t>
      </w:r>
      <w:r>
        <w:rPr>
          <w:rFonts w:hint="eastAsia"/>
          <w:color w:val="auto"/>
          <w:highlight w:val="none"/>
        </w:rPr>
        <w:t>万元，其中：本级财政安排资金</w:t>
      </w:r>
      <w:r>
        <w:rPr>
          <w:rFonts w:hint="eastAsia"/>
          <w:color w:val="auto"/>
          <w:highlight w:val="none"/>
          <w:lang w:val="en-US" w:eastAsia="zh-CN"/>
        </w:rPr>
        <w:t>190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190</w:t>
      </w:r>
      <w:r>
        <w:rPr>
          <w:rFonts w:hint="eastAsia"/>
          <w:color w:val="auto"/>
          <w:highlight w:val="none"/>
        </w:rPr>
        <w:t>万元，资金到位率</w:t>
      </w:r>
      <w:r>
        <w:rPr>
          <w:rFonts w:hint="eastAsia"/>
          <w:color w:val="auto"/>
          <w:highlight w:val="none"/>
          <w:lang w:val="en-US" w:eastAsia="zh-CN"/>
        </w:rPr>
        <w:t>100</w:t>
      </w:r>
      <w:r>
        <w:rPr>
          <w:rFonts w:hint="eastAsia"/>
          <w:color w:val="auto"/>
          <w:highlight w:val="none"/>
        </w:rPr>
        <w:t>%。得分</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190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181.67</w:t>
      </w:r>
      <w:r>
        <w:rPr>
          <w:rFonts w:hint="eastAsia" w:ascii="仿宋_GB2312" w:cs="仿宋_GB2312"/>
          <w:color w:val="auto"/>
          <w:sz w:val="28"/>
          <w:szCs w:val="28"/>
          <w:highlight w:val="none"/>
        </w:rPr>
        <w:t>万元，预算执行率</w:t>
      </w:r>
      <w:r>
        <w:rPr>
          <w:rFonts w:hint="eastAsia" w:ascii="仿宋_GB2312" w:cs="仿宋_GB2312"/>
          <w:color w:val="auto"/>
          <w:sz w:val="28"/>
          <w:szCs w:val="28"/>
          <w:highlight w:val="none"/>
          <w:lang w:val="en-US" w:eastAsia="zh-CN"/>
        </w:rPr>
        <w:t>95.62</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偏差原因：该项目内资产条码打印机未按年初计划执行，导致执行率未达到100%。改进措施：督促业务人员按进度按计划及时申请支出，加快支出进度，确保预算执行率达到100%。</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3.84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96</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财政局</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w:t>
      </w:r>
      <w:r>
        <w:rPr>
          <w:rFonts w:hint="eastAsia"/>
          <w:color w:val="auto"/>
          <w:highlight w:val="none"/>
          <w:lang w:eastAsia="zh-CN"/>
        </w:rPr>
        <w:t>严格执行《预算法》《政府会计准则》，并</w:t>
      </w:r>
      <w:r>
        <w:rPr>
          <w:rFonts w:hint="eastAsia"/>
          <w:color w:val="auto"/>
          <w:highlight w:val="none"/>
        </w:rPr>
        <w:t>制定</w:t>
      </w:r>
      <w:r>
        <w:rPr>
          <w:rFonts w:hint="eastAsia"/>
          <w:color w:val="auto"/>
          <w:highlight w:val="none"/>
          <w:lang w:val="en-US" w:eastAsia="zh-CN"/>
        </w:rPr>
        <w:t xml:space="preserve"> </w:t>
      </w:r>
      <w:r>
        <w:rPr>
          <w:rFonts w:hint="eastAsia"/>
          <w:color w:val="auto"/>
          <w:highlight w:val="none"/>
        </w:rPr>
        <w:t>《</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财政局</w:t>
      </w:r>
      <w:r>
        <w:rPr>
          <w:rFonts w:hint="eastAsia"/>
          <w:color w:val="auto"/>
          <w:highlight w:val="none"/>
        </w:rPr>
        <w:t>采购管理制度》等，上述已建立的制度均符合行政事业单位内控管理要求，财务和业务管理制度合法、合规、完整，本项目执行符合上述制度规定。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，项目启动实施后，为了加快本项目的实施，成立了全县财政业务工作管理和服务项目工作领导小组，由党组书记</w:t>
      </w:r>
      <w:r>
        <w:rPr>
          <w:rFonts w:hint="eastAsia"/>
          <w:color w:val="auto"/>
          <w:highlight w:val="none"/>
          <w:lang w:eastAsia="zh-CN"/>
        </w:rPr>
        <w:t>王刚</w:t>
      </w:r>
      <w:r>
        <w:rPr>
          <w:rFonts w:hint="eastAsia"/>
          <w:color w:val="auto"/>
          <w:highlight w:val="none"/>
        </w:rPr>
        <w:t>任组长，负责项目的组织工作；</w:t>
      </w:r>
      <w:r>
        <w:rPr>
          <w:rFonts w:hint="eastAsia"/>
          <w:color w:val="auto"/>
          <w:highlight w:val="none"/>
          <w:lang w:eastAsia="zh-CN"/>
        </w:rPr>
        <w:t>郝亚玲</w:t>
      </w:r>
      <w:r>
        <w:rPr>
          <w:rFonts w:hint="eastAsia"/>
          <w:color w:val="auto"/>
          <w:highlight w:val="none"/>
        </w:rPr>
        <w:t>任副组长，负责项目的实施工作；组员包括：</w:t>
      </w:r>
      <w:r>
        <w:rPr>
          <w:rFonts w:hint="eastAsia"/>
          <w:color w:val="auto"/>
          <w:highlight w:val="none"/>
          <w:lang w:eastAsia="zh-CN"/>
        </w:rPr>
        <w:t>陈亮、李正凯、靳娅君、李继红、古扎丽、杨守明、黄卫萍及刘雨欣</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21.55</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测绘办公用房单位面积</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&gt;=12768.26平方米</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=126866.67平方米</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。偏差原因：指标设置时仅取用本单位系统数据，对于项目把握不足，实际测绘工程面积较大，出现实际值偏离的情况。改进措施：今后将结合项目实际开展要求设置与工作内容匹配的指标值。</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财政信息系统服务对象</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=108家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108家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2023年预算公开单位</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=104家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104家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2022年决算公开单位</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=106家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104家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98.11</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，偏差原因：存在两家涉密单位未公开其决算情况。改进措施：今后设置指标时将结合工作实际开展情况，提高指标准确性。</w:t>
      </w:r>
    </w:p>
    <w:p>
      <w:pPr>
        <w:bidi w:val="0"/>
        <w:rPr>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组织财务人员参与培训人数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&gt;=90人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财政信息系统正常运转率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&gt;=95%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预算、决算公开内容合格率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6"/>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“系统故障修复响应时间”指标：预期指标值为&lt;=2小时，实际完成指标值为2小时，指标完成率100%。</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“内控填报工作按时完成率”指标：预期指标值为&gt;=95%，实际完成指标值为100%，指标完成率为100%。</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w:t>
      </w:r>
      <w:r>
        <w:rPr>
          <w:rFonts w:hint="eastAsia" w:ascii="仿宋_GB2312" w:cs="仿宋_GB2312"/>
          <w:color w:val="auto"/>
          <w:sz w:val="28"/>
          <w:szCs w:val="28"/>
          <w:highlight w:val="none"/>
          <w:lang w:eastAsia="zh-CN"/>
        </w:rPr>
        <w:t>成本</w:t>
      </w:r>
      <w:r>
        <w:rPr>
          <w:rFonts w:hint="eastAsia" w:ascii="仿宋_GB2312" w:cs="仿宋_GB2312"/>
          <w:color w:val="auto"/>
          <w:sz w:val="28"/>
          <w:szCs w:val="28"/>
          <w:highlight w:val="none"/>
        </w:rPr>
        <w:t>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8.72</w:t>
      </w:r>
      <w:r>
        <w:rPr>
          <w:rFonts w:hint="eastAsia" w:asci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2019年资产条形码打印仪器维修维护</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资产条形码打印仪器未出现故障，因此未完成维护维修；改进措施为：确保仪器正常运行，另一方面提高绩效指标设置科学性</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办公用房单位面积测绘费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财政系统运维服务费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&lt;=19.01万元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63.12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合同签订时间较晚，实际签订金额与年度指标值设置偏差较大，导致年初预算设置指标值较高；改进措施为：提早推进工作计划进度，提高年度指标值设置准确度</w:t>
      </w:r>
      <w:r>
        <w:rPr>
          <w:rFonts w:hint="eastAsia" w:ascii="仿宋_GB2312" w:hAnsi="仿宋_GB2312" w:cs="仿宋_GB2312"/>
          <w:color w:val="auto"/>
          <w:sz w:val="28"/>
          <w:szCs w:val="28"/>
          <w:highlight w:val="none"/>
        </w:rPr>
        <w:t>。</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2022年内控系统填报服务费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平台运维服务费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&lt;=35万元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23.76万元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67.89</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项目按照计划实施，但项目人员未合理安排资金申请计划，影响项目资金执行进度；改进措施为：积极办理手续，合理安排资金申请计划，加快资金支出进度</w:t>
      </w:r>
      <w:r>
        <w:rPr>
          <w:rFonts w:hint="eastAsia" w:ascii="仿宋_GB2312" w:hAnsi="仿宋_GB2312" w:cs="仿宋_GB2312"/>
          <w:color w:val="auto"/>
          <w:sz w:val="28"/>
          <w:szCs w:val="28"/>
          <w:highlight w:val="none"/>
        </w:rPr>
        <w:t>。</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绩效管理服务费及系统服务费</w:t>
      </w:r>
      <w:r>
        <w:rPr>
          <w:rFonts w:hint="eastAsia" w:ascii="仿宋_GB2312" w:hAnsi="仿宋_GB2312" w:cs="仿宋_GB2312"/>
          <w:color w:val="auto"/>
          <w:sz w:val="28"/>
          <w:szCs w:val="28"/>
          <w:highlight w:val="none"/>
        </w:rPr>
        <w:t>”指标：预期指标值为&lt;=96.80万元，实际完成指标值为</w:t>
      </w:r>
      <w:r>
        <w:rPr>
          <w:rFonts w:hint="eastAsia" w:ascii="仿宋_GB2312" w:hAnsi="仿宋_GB2312" w:cs="仿宋_GB2312"/>
          <w:color w:val="auto"/>
          <w:sz w:val="28"/>
          <w:szCs w:val="28"/>
          <w:highlight w:val="none"/>
          <w:lang w:val="en-US" w:eastAsia="zh-CN"/>
        </w:rPr>
        <w:t>83.63万元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86.4</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2023年部门预算、决算公开服务费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&lt;=9.20万元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8.88万元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96.5</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2023年编制政府财务报告费用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&lt;=10万元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3.0792万元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30.8</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设置年度指标值未按实际情况设置导致偏差较大；改进措施为：根据实际签订合同金额设置年度指标值，提高年度指标值设置准确度</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6"/>
        <w:bidi w:val="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保障财政改革业务工作需要</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促进财政管理工作信息化、科学化</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效果明显</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pStyle w:val="6"/>
        <w:bidi w:val="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全县预算单位人员对财政工作满意度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&gt;=90%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99.21%</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 xml:space="preserve">。 </w:t>
      </w:r>
    </w:p>
    <w:p>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全年预算数为190万元，全年到位数为190万元，全年执行数为181.67万元，预算执行率为95.62%。</w:t>
      </w:r>
    </w:p>
    <w:p>
      <w:pPr>
        <w:pStyle w:val="2"/>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25</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15个，扣分指标数量10个，经分析计算所有三级指标完成率得出本项目</w:t>
      </w:r>
      <w:r>
        <w:rPr>
          <w:rFonts w:hint="eastAsia"/>
          <w:color w:val="auto"/>
          <w:highlight w:val="none"/>
        </w:rPr>
        <w:t>总体完成率为</w:t>
      </w:r>
      <w:r>
        <w:rPr>
          <w:rFonts w:hint="eastAsia"/>
          <w:color w:val="auto"/>
          <w:highlight w:val="none"/>
          <w:lang w:val="en-US" w:eastAsia="zh-CN"/>
        </w:rPr>
        <w:t>83.8</w:t>
      </w:r>
      <w:r>
        <w:rPr>
          <w:rFonts w:hint="eastAsia"/>
          <w:color w:val="auto"/>
          <w:highlight w:val="none"/>
          <w:lang w:val="zh-TW" w:eastAsia="zh-TW"/>
        </w:rPr>
        <w:t>%。</w:t>
      </w:r>
    </w:p>
    <w:p>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综上所述本项目预算执行率与总体完成率之间的偏差为-11.82%。</w:t>
      </w:r>
    </w:p>
    <w:p>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首先，制定明确的绩效目标是关键。这要求部门根据项目实际情况，设定具体、可衡量、可达成的绩效目标，同时确保目标的合理性和可操作性。其次，预算计划的制定也是至关重要的一环。根据已设定的绩效目标，部门需要制定相应的预算计划，包括人力、物力、财力等各方面的资源投入。预算计划的制定应充分考虑目标的实现路径和可能遇到的困难，以确保在实现绩效目标的过程中有足够的支持。</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在实施过程中，绩效考核机制的建立和实施是保障目标达成的有效手段。通过明确各项工作任务的责任人和完成标准，定期进行绩效评估，有助于部门形成良好的工作氛围，提高工作效率和质量。</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此外，对预算绩效目标的跟踪管理也是预算绩效管理的重要一环。通过建立预算绩效目标双月报制度，实时掌握项目绩效目标完成情况、实施进度和支出执行进度，当绩效运行与预期目标发生偏差时，及时予以纠正。这种跟踪管理方式有助于部门单位及时发现问题，调整策略，确保预算绩效目标的顺利实现。</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最后，预算绩效管理的成果需要得到有效的应用。在项目评价结束后，应及时将评价结果反馈给项目实施单位和主管部门，要求其根据评价结果完善管理制度，改进管理措施，增强支出责任。对于重大项目的评价结果，还应及时向政府报告，为政府和领导决策提供参考。这样可以将预算绩效管理的成果转化为实际的效益，推动部门工作的持续改进和发展。</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总的来说，部门单位预算绩效管理经验及做法是一个系统性的过程，涉及目标的设定、预算计划的制定、绩效考核的实施、目标跟踪管理以及结果应用等多个环节。这些经验和做法有助于部门提高预算绩效管理水平，推动工作的持续改进和发展。</w:t>
      </w:r>
    </w:p>
    <w:bookmarkEnd w:id="16"/>
    <w:bookmarkEnd w:id="17"/>
    <w:p>
      <w:pPr>
        <w:pStyle w:val="5"/>
        <w:numPr>
          <w:ilvl w:val="0"/>
          <w:numId w:val="3"/>
        </w:numPr>
        <w:ind w:firstLine="643"/>
        <w:rPr>
          <w:color w:val="auto"/>
          <w:highlight w:val="none"/>
        </w:rPr>
      </w:pPr>
      <w:r>
        <w:rPr>
          <w:rFonts w:hint="eastAsia"/>
          <w:color w:val="auto"/>
          <w:highlight w:val="none"/>
        </w:rPr>
        <w:t>存在的问题及分析</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b/>
          <w:bCs/>
          <w:color w:val="auto"/>
          <w:kern w:val="2"/>
          <w:sz w:val="28"/>
          <w:szCs w:val="24"/>
          <w:highlight w:val="none"/>
          <w:lang w:val="en-US" w:eastAsia="zh-CN" w:bidi="ar-SA"/>
        </w:rPr>
        <w:t>一是内控制度建设不够完善。</w:t>
      </w:r>
      <w:r>
        <w:rPr>
          <w:rFonts w:hint="eastAsia" w:ascii="Times New Roman" w:hAnsi="Times New Roman" w:eastAsia="仿宋_GB2312" w:cs="Times New Roman"/>
          <w:color w:val="auto"/>
          <w:kern w:val="2"/>
          <w:sz w:val="28"/>
          <w:szCs w:val="24"/>
          <w:highlight w:val="none"/>
          <w:lang w:val="en-US" w:eastAsia="zh-CN" w:bidi="ar-SA"/>
        </w:rPr>
        <w:t>我局将进一步加强内控制度建设，再次梳理细化工作流程及风险点，将财经法律、法规以及中央、</w:t>
      </w:r>
      <w:r>
        <w:rPr>
          <w:rFonts w:hint="eastAsia" w:cs="Times New Roman"/>
          <w:color w:val="auto"/>
          <w:kern w:val="2"/>
          <w:sz w:val="28"/>
          <w:szCs w:val="24"/>
          <w:highlight w:val="none"/>
          <w:lang w:val="en-US" w:eastAsia="zh-CN" w:bidi="ar-SA"/>
        </w:rPr>
        <w:t>自治区</w:t>
      </w:r>
      <w:r>
        <w:rPr>
          <w:rFonts w:hint="eastAsia" w:ascii="Times New Roman" w:hAnsi="Times New Roman" w:eastAsia="仿宋_GB2312" w:cs="Times New Roman"/>
          <w:color w:val="auto"/>
          <w:kern w:val="2"/>
          <w:sz w:val="28"/>
          <w:szCs w:val="24"/>
          <w:highlight w:val="none"/>
          <w:lang w:val="en-US" w:eastAsia="zh-CN" w:bidi="ar-SA"/>
        </w:rPr>
        <w:t>规章制度与本局经费支出规定相衔接，实现预设标准、范围，做到提前预警控制。</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b/>
          <w:bCs/>
          <w:color w:val="auto"/>
          <w:kern w:val="2"/>
          <w:sz w:val="28"/>
          <w:szCs w:val="24"/>
          <w:highlight w:val="none"/>
          <w:lang w:val="en-US" w:eastAsia="zh-CN" w:bidi="ar-SA"/>
        </w:rPr>
        <w:t>二是在原始票据的审核上把关不严。</w:t>
      </w:r>
      <w:r>
        <w:rPr>
          <w:rFonts w:hint="eastAsia" w:ascii="Times New Roman" w:hAnsi="Times New Roman" w:eastAsia="仿宋_GB2312" w:cs="Times New Roman"/>
          <w:color w:val="auto"/>
          <w:kern w:val="2"/>
          <w:sz w:val="28"/>
          <w:szCs w:val="24"/>
          <w:highlight w:val="none"/>
          <w:lang w:val="en-US" w:eastAsia="zh-CN" w:bidi="ar-SA"/>
        </w:rPr>
        <w:t>下一步财务部门将加大财务管理力度，按照新的政府财务管理制度和财政一体化工作的要求核算项目、部门经济科目、功能科目，注重财务账务与财政决算报表、资产报表、政府财务报表的一致性，注重支出的合理性、有效性、时效性。严格执行中央、</w:t>
      </w:r>
      <w:r>
        <w:rPr>
          <w:rFonts w:hint="eastAsia" w:cs="Times New Roman"/>
          <w:color w:val="auto"/>
          <w:kern w:val="2"/>
          <w:sz w:val="28"/>
          <w:szCs w:val="24"/>
          <w:highlight w:val="none"/>
          <w:lang w:val="en-US" w:eastAsia="zh-CN" w:bidi="ar-SA"/>
        </w:rPr>
        <w:t>自治区</w:t>
      </w:r>
      <w:r>
        <w:rPr>
          <w:rFonts w:hint="eastAsia" w:ascii="Times New Roman" w:hAnsi="Times New Roman" w:eastAsia="仿宋_GB2312" w:cs="Times New Roman"/>
          <w:color w:val="auto"/>
          <w:kern w:val="2"/>
          <w:sz w:val="28"/>
          <w:szCs w:val="24"/>
          <w:highlight w:val="none"/>
          <w:lang w:val="en-US" w:eastAsia="zh-CN" w:bidi="ar-SA"/>
        </w:rPr>
        <w:t>、市的各项制度，严控三公经费支出，严格资产管理。</w:t>
      </w:r>
    </w:p>
    <w:p>
      <w:pPr>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b/>
          <w:bCs/>
          <w:color w:val="auto"/>
          <w:kern w:val="2"/>
          <w:sz w:val="28"/>
          <w:szCs w:val="24"/>
          <w:highlight w:val="none"/>
          <w:lang w:val="en-US" w:eastAsia="zh-CN" w:bidi="ar-SA"/>
        </w:rPr>
        <w:t>三是年初预算不够精细完整。</w:t>
      </w:r>
      <w:r>
        <w:rPr>
          <w:rFonts w:hint="eastAsia" w:ascii="Times New Roman" w:hAnsi="Times New Roman" w:eastAsia="仿宋_GB2312" w:cs="Times New Roman"/>
          <w:color w:val="auto"/>
          <w:kern w:val="2"/>
          <w:sz w:val="28"/>
          <w:szCs w:val="24"/>
          <w:highlight w:val="none"/>
          <w:lang w:val="en-US" w:eastAsia="zh-CN" w:bidi="ar-SA"/>
        </w:rPr>
        <w:t>我局将强化财务数据分析，并将财务数据分析结果运用于预算安排、绩效目标编报、资产配置管理等方面，不断更新项目数据库，调整支出结构，优化财政资金配置。</w:t>
      </w:r>
    </w:p>
    <w:p>
      <w:pPr>
        <w:pStyle w:val="4"/>
        <w:ind w:firstLine="640"/>
        <w:rPr>
          <w:rFonts w:hint="eastAsia"/>
          <w:color w:val="auto"/>
          <w:highlight w:val="none"/>
          <w:lang w:eastAsia="zh-CN"/>
        </w:rPr>
      </w:pPr>
      <w:r>
        <w:rPr>
          <w:rFonts w:hint="eastAsia"/>
          <w:color w:val="auto"/>
          <w:highlight w:val="none"/>
          <w:lang w:eastAsia="zh-CN"/>
        </w:rPr>
        <w:t>七、有关建议</w:t>
      </w:r>
    </w:p>
    <w:p>
      <w:pPr>
        <w:bidi w:val="0"/>
        <w:rPr>
          <w:rFonts w:hint="default"/>
          <w:b/>
          <w:bCs/>
          <w:color w:val="auto"/>
          <w:highlight w:val="none"/>
          <w:lang w:val="en-US" w:eastAsia="zh-CN"/>
        </w:rPr>
      </w:pPr>
      <w:r>
        <w:rPr>
          <w:rFonts w:hint="eastAsia"/>
          <w:b/>
          <w:bCs/>
          <w:color w:val="auto"/>
          <w:highlight w:val="none"/>
          <w:lang w:val="en-US" w:eastAsia="zh-CN"/>
        </w:rPr>
        <w:t>存在的问题</w:t>
      </w:r>
    </w:p>
    <w:p>
      <w:pPr>
        <w:bidi w:val="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b/>
          <w:bCs/>
          <w:color w:val="auto"/>
          <w:kern w:val="2"/>
          <w:sz w:val="28"/>
          <w:szCs w:val="24"/>
          <w:highlight w:val="none"/>
          <w:lang w:val="en-US" w:eastAsia="zh-CN" w:bidi="ar-SA"/>
        </w:rPr>
        <w:t>（一）预算绩效管理的重要性认识不足。</w:t>
      </w:r>
      <w:r>
        <w:rPr>
          <w:rFonts w:hint="default" w:ascii="Times New Roman" w:hAnsi="Times New Roman" w:eastAsia="仿宋_GB2312" w:cs="Times New Roman"/>
          <w:color w:val="auto"/>
          <w:kern w:val="2"/>
          <w:sz w:val="28"/>
          <w:szCs w:val="24"/>
          <w:highlight w:val="none"/>
          <w:lang w:val="en-US" w:eastAsia="zh-CN" w:bidi="ar-SA"/>
        </w:rPr>
        <w:t>加强预算绩效管理理念虽然已是普遍共识，但对该项工作重要性的认识程度还存在显著差异。不仅是</w:t>
      </w:r>
      <w:r>
        <w:rPr>
          <w:rFonts w:hint="eastAsia" w:ascii="Times New Roman" w:hAnsi="Times New Roman" w:eastAsia="仿宋_GB2312" w:cs="Times New Roman"/>
          <w:color w:val="auto"/>
          <w:kern w:val="2"/>
          <w:sz w:val="28"/>
          <w:szCs w:val="24"/>
          <w:highlight w:val="none"/>
          <w:lang w:val="en-US" w:eastAsia="zh-CN" w:bidi="ar-SA"/>
        </w:rPr>
        <w:t>县级</w:t>
      </w:r>
      <w:r>
        <w:rPr>
          <w:rFonts w:hint="default" w:ascii="Times New Roman" w:hAnsi="Times New Roman" w:eastAsia="仿宋_GB2312" w:cs="Times New Roman"/>
          <w:color w:val="auto"/>
          <w:kern w:val="2"/>
          <w:sz w:val="28"/>
          <w:szCs w:val="24"/>
          <w:highlight w:val="none"/>
          <w:lang w:val="en-US" w:eastAsia="zh-CN" w:bidi="ar-SA"/>
        </w:rPr>
        <w:t>部门之间重视程度不同，同系统上下级之间、不同部门之间也有差异</w:t>
      </w:r>
      <w:r>
        <w:rPr>
          <w:rFonts w:hint="eastAsia" w:ascii="Times New Roman" w:hAnsi="Times New Roman" w:eastAsia="仿宋_GB2312" w:cs="Times New Roman"/>
          <w:color w:val="auto"/>
          <w:kern w:val="2"/>
          <w:sz w:val="28"/>
          <w:szCs w:val="24"/>
          <w:highlight w:val="none"/>
          <w:lang w:val="en-US" w:eastAsia="zh-CN" w:bidi="ar-SA"/>
        </w:rPr>
        <w:t>。</w:t>
      </w:r>
    </w:p>
    <w:p>
      <w:pPr>
        <w:bidi w:val="0"/>
        <w:rPr>
          <w:rFonts w:hint="default"/>
          <w:color w:val="auto"/>
          <w:highlight w:val="none"/>
          <w:lang w:val="en-US" w:eastAsia="zh-CN"/>
        </w:rPr>
      </w:pPr>
      <w:r>
        <w:rPr>
          <w:rFonts w:hint="eastAsia"/>
          <w:b/>
          <w:bCs/>
          <w:color w:val="auto"/>
          <w:highlight w:val="none"/>
          <w:lang w:val="en-US" w:eastAsia="zh-CN"/>
        </w:rPr>
        <w:t>（二）预算绩效管理的组织实施统筹不够。</w:t>
      </w:r>
      <w:r>
        <w:rPr>
          <w:rFonts w:hint="default"/>
          <w:color w:val="auto"/>
          <w:highlight w:val="none"/>
          <w:lang w:val="en-US" w:eastAsia="zh-CN"/>
        </w:rPr>
        <w:t>预算绩效管理工作附着在预算管理的各个环节，是一项系统性强、耗时较多的工作，倘若没有足够的人力、物力支撑，难以有效完成，目前组织实施存在普遍性问题</w:t>
      </w:r>
      <w:r>
        <w:rPr>
          <w:rFonts w:hint="eastAsia"/>
          <w:color w:val="auto"/>
          <w:highlight w:val="none"/>
          <w:lang w:val="en-US" w:eastAsia="zh-CN"/>
        </w:rPr>
        <w:t>。</w:t>
      </w:r>
    </w:p>
    <w:p>
      <w:pPr>
        <w:bidi w:val="0"/>
        <w:rPr>
          <w:rFonts w:hint="default"/>
          <w:color w:val="auto"/>
          <w:highlight w:val="none"/>
          <w:lang w:val="en-US" w:eastAsia="zh-CN"/>
        </w:rPr>
      </w:pPr>
      <w:r>
        <w:rPr>
          <w:rFonts w:hint="eastAsia"/>
          <w:b/>
          <w:bCs/>
          <w:color w:val="auto"/>
          <w:highlight w:val="none"/>
          <w:lang w:val="en-US" w:eastAsia="zh-CN"/>
        </w:rPr>
        <w:t>（三）预算绩效评价的技术能力亟需提升。</w:t>
      </w:r>
      <w:r>
        <w:rPr>
          <w:rFonts w:hint="default"/>
          <w:color w:val="auto"/>
          <w:highlight w:val="none"/>
          <w:lang w:val="en-US" w:eastAsia="zh-CN"/>
        </w:rPr>
        <w:t>预算绩效评价的技术要求很强，只有熟练运用行业知识和专业方法，才可能给出客观、准确的评价。当前，在绩效评价技术能力方面也还存在短板</w:t>
      </w:r>
      <w:r>
        <w:rPr>
          <w:rFonts w:hint="eastAsia"/>
          <w:color w:val="auto"/>
          <w:highlight w:val="none"/>
          <w:lang w:val="en-US" w:eastAsia="zh-CN"/>
        </w:rPr>
        <w:t>。</w:t>
      </w:r>
    </w:p>
    <w:p>
      <w:pPr>
        <w:bidi w:val="0"/>
        <w:rPr>
          <w:rFonts w:hint="default"/>
          <w:color w:val="auto"/>
          <w:highlight w:val="none"/>
          <w:lang w:val="en-US" w:eastAsia="zh-CN"/>
        </w:rPr>
      </w:pPr>
      <w:r>
        <w:rPr>
          <w:rFonts w:hint="eastAsia"/>
          <w:b/>
          <w:bCs/>
          <w:color w:val="auto"/>
          <w:highlight w:val="none"/>
          <w:lang w:val="en-US" w:eastAsia="zh-CN"/>
        </w:rPr>
        <w:t>（四）预算绩效评价的管理功能有待拓展。</w:t>
      </w:r>
      <w:r>
        <w:rPr>
          <w:rFonts w:hint="default"/>
          <w:color w:val="auto"/>
          <w:highlight w:val="none"/>
          <w:lang w:val="en-US" w:eastAsia="zh-CN"/>
        </w:rPr>
        <w:t>按照《意见》要求，“花钱必问效，无效必问责”。预算绩效管理的“最后一公里”还没有完全打通，有的项目</w:t>
      </w:r>
      <w:r>
        <w:rPr>
          <w:rFonts w:hint="eastAsia"/>
          <w:color w:val="auto"/>
          <w:highlight w:val="none"/>
          <w:lang w:val="en-US" w:eastAsia="zh-CN"/>
        </w:rPr>
        <w:t>即使</w:t>
      </w:r>
      <w:r>
        <w:rPr>
          <w:rFonts w:hint="default"/>
          <w:color w:val="auto"/>
          <w:highlight w:val="none"/>
          <w:lang w:val="en-US" w:eastAsia="zh-CN"/>
        </w:rPr>
        <w:t>绩效目标执行情况不符合既定要求，收回相关预算资金也并不容易。</w:t>
      </w:r>
    </w:p>
    <w:p>
      <w:pPr>
        <w:bidi w:val="0"/>
        <w:rPr>
          <w:rFonts w:hint="default"/>
          <w:b/>
          <w:bCs/>
          <w:color w:val="auto"/>
          <w:highlight w:val="none"/>
          <w:lang w:val="en-US" w:eastAsia="zh-CN"/>
        </w:rPr>
      </w:pPr>
      <w:r>
        <w:rPr>
          <w:rFonts w:hint="eastAsia"/>
          <w:b/>
          <w:bCs/>
          <w:color w:val="auto"/>
          <w:highlight w:val="none"/>
          <w:lang w:val="en-US" w:eastAsia="zh-CN"/>
        </w:rPr>
        <w:t>改进措施</w:t>
      </w:r>
    </w:p>
    <w:p>
      <w:pPr>
        <w:bidi w:val="0"/>
        <w:rPr>
          <w:rFonts w:hint="eastAsia"/>
          <w:color w:val="auto"/>
          <w:highlight w:val="none"/>
          <w:lang w:val="en-US" w:eastAsia="zh-CN"/>
        </w:rPr>
      </w:pPr>
      <w:r>
        <w:rPr>
          <w:rFonts w:hint="default"/>
          <w:b/>
          <w:bCs/>
          <w:color w:val="auto"/>
          <w:highlight w:val="none"/>
          <w:lang w:val="en-US" w:eastAsia="zh-CN"/>
        </w:rPr>
        <w:t>（一）加大预算绩效管理宣传培训力度。</w:t>
      </w:r>
      <w:r>
        <w:rPr>
          <w:rFonts w:hint="default"/>
          <w:color w:val="auto"/>
          <w:highlight w:val="none"/>
          <w:lang w:val="en-US" w:eastAsia="zh-CN"/>
        </w:rPr>
        <w:t>绩效主管部门应进一步结合国家治理体系和治理能力现代化的建设要求，突出宣传预算绩效管理在促进政府公共部门提高公共服务供给效率方面的重要作用，形成强化绩效管理的氛围。</w:t>
      </w:r>
      <w:r>
        <w:rPr>
          <w:rFonts w:hint="eastAsia"/>
          <w:color w:val="auto"/>
          <w:highlight w:val="none"/>
          <w:lang w:val="en-US" w:eastAsia="zh-CN"/>
        </w:rPr>
        <w:t>县级</w:t>
      </w:r>
      <w:r>
        <w:rPr>
          <w:rFonts w:hint="default"/>
          <w:color w:val="auto"/>
          <w:highlight w:val="none"/>
          <w:lang w:val="en-US" w:eastAsia="zh-CN"/>
        </w:rPr>
        <w:t>部门要树立绩效管理意识，调整管理机制，把预算绩效管理作为基础性工作认真对待；加强系统内各层级人员绩效管理培训，营造绩效管理的良好氛围，注重总结推广先进典型做法，形成系统内案例库，逐步丰富工作成果。</w:t>
      </w:r>
    </w:p>
    <w:p>
      <w:pPr>
        <w:bidi w:val="0"/>
        <w:rPr>
          <w:rFonts w:hint="default"/>
          <w:color w:val="auto"/>
          <w:highlight w:val="none"/>
          <w:lang w:val="en-US" w:eastAsia="zh-CN"/>
        </w:rPr>
      </w:pPr>
      <w:r>
        <w:rPr>
          <w:rFonts w:hint="default"/>
          <w:b/>
          <w:bCs/>
          <w:color w:val="auto"/>
          <w:highlight w:val="none"/>
          <w:lang w:val="en-US" w:eastAsia="zh-CN"/>
        </w:rPr>
        <w:t>（二）提升预算绩效管理统筹组织能力。</w:t>
      </w:r>
      <w:r>
        <w:rPr>
          <w:rFonts w:hint="default"/>
          <w:color w:val="auto"/>
          <w:highlight w:val="none"/>
          <w:lang w:val="en-US" w:eastAsia="zh-CN"/>
        </w:rPr>
        <w:t>绩效主管部门应加强工作统筹，持续优化预决算、资产管理、预算执行、政府采购、政府会计、财务规则等业务与绩效管理改革的关系，提升工作协调性；按预算规模、预算层级等实际情况，分类指导</w:t>
      </w:r>
      <w:r>
        <w:rPr>
          <w:rFonts w:hint="eastAsia"/>
          <w:color w:val="auto"/>
          <w:highlight w:val="none"/>
          <w:lang w:val="en-US" w:eastAsia="zh-CN"/>
        </w:rPr>
        <w:t>县级</w:t>
      </w:r>
      <w:r>
        <w:rPr>
          <w:rFonts w:hint="default"/>
          <w:color w:val="auto"/>
          <w:highlight w:val="none"/>
          <w:lang w:val="en-US" w:eastAsia="zh-CN"/>
        </w:rPr>
        <w:t>部门开展预算绩效管理工作，体现系统性差异。</w:t>
      </w:r>
      <w:r>
        <w:rPr>
          <w:rFonts w:hint="eastAsia"/>
          <w:color w:val="auto"/>
          <w:highlight w:val="none"/>
          <w:lang w:val="en-US" w:eastAsia="zh-CN"/>
        </w:rPr>
        <w:t>县级</w:t>
      </w:r>
      <w:r>
        <w:rPr>
          <w:rFonts w:hint="default"/>
          <w:color w:val="auto"/>
          <w:highlight w:val="none"/>
          <w:lang w:val="en-US" w:eastAsia="zh-CN"/>
        </w:rPr>
        <w:t>部门要加强绩效管理实施，不断优化内部分工、深挖潜力，保障扎实开展预算绩效管理的人员力量；进一步明确系统内项目单位、资金使用终端的绩效管理责任，完善绩效自评工作流程，提升自评工作效率。</w:t>
      </w:r>
    </w:p>
    <w:p>
      <w:pPr>
        <w:bidi w:val="0"/>
        <w:rPr>
          <w:rFonts w:hint="default"/>
          <w:color w:val="auto"/>
          <w:highlight w:val="none"/>
          <w:lang w:val="en-US" w:eastAsia="zh-CN"/>
        </w:rPr>
      </w:pPr>
      <w:r>
        <w:rPr>
          <w:rFonts w:hint="default"/>
          <w:b/>
          <w:bCs/>
          <w:color w:val="auto"/>
          <w:highlight w:val="none"/>
          <w:lang w:val="en-US" w:eastAsia="zh-CN"/>
        </w:rPr>
        <w:t xml:space="preserve">（三）完善预算绩效管理技术支撑体系。 </w:t>
      </w:r>
      <w:r>
        <w:rPr>
          <w:rFonts w:hint="default"/>
          <w:color w:val="auto"/>
          <w:highlight w:val="none"/>
          <w:lang w:val="en-US" w:eastAsia="zh-CN"/>
        </w:rPr>
        <w:t>绩效主管部门应加快推进绩效评价行业力量建设，在评价机构、专家团队以及专业人员等方面多端发力； 推动学术机构积极参与绩效评价技术研究，完善评价指标库建设、评价方法开发应用、绩效管理信息系统构建等。</w:t>
      </w:r>
    </w:p>
    <w:p>
      <w:pPr>
        <w:bidi w:val="0"/>
        <w:rPr>
          <w:rFonts w:hint="eastAsia"/>
          <w:color w:val="auto"/>
          <w:highlight w:val="none"/>
          <w:lang w:val="en-US" w:eastAsia="zh-CN"/>
        </w:rPr>
      </w:pPr>
      <w:r>
        <w:rPr>
          <w:rFonts w:hint="default"/>
          <w:b/>
          <w:bCs/>
          <w:color w:val="auto"/>
          <w:highlight w:val="none"/>
          <w:lang w:val="en-US" w:eastAsia="zh-CN"/>
        </w:rPr>
        <w:t>（四）加快建立预算绩效管理激励机制。</w:t>
      </w:r>
      <w:r>
        <w:rPr>
          <w:rFonts w:hint="default"/>
          <w:color w:val="auto"/>
          <w:highlight w:val="none"/>
          <w:lang w:val="en-US" w:eastAsia="zh-CN"/>
        </w:rPr>
        <w:t>绩效主管部门应积极推动预算绩效</w:t>
      </w:r>
      <w:r>
        <w:rPr>
          <w:rFonts w:hint="eastAsia"/>
          <w:color w:val="auto"/>
          <w:highlight w:val="none"/>
          <w:lang w:val="en-US" w:eastAsia="zh-CN"/>
        </w:rPr>
        <w:t>相衔接</w:t>
      </w:r>
      <w:r>
        <w:rPr>
          <w:rFonts w:hint="default"/>
          <w:color w:val="auto"/>
          <w:highlight w:val="none"/>
          <w:lang w:val="en-US" w:eastAsia="zh-CN"/>
        </w:rPr>
        <w:t>，硬化约束；完善绩效管理激励机制，无效问责、有效则奖、奖罚分明；充分调动现有绩效管理力量，优化绩效管理中的权责边界，发挥相关部门的能动性和优势，强化对</w:t>
      </w:r>
      <w:r>
        <w:rPr>
          <w:rFonts w:hint="eastAsia"/>
          <w:color w:val="auto"/>
          <w:highlight w:val="none"/>
          <w:lang w:val="en-US" w:eastAsia="zh-CN"/>
        </w:rPr>
        <w:t>县级</w:t>
      </w:r>
      <w:r>
        <w:rPr>
          <w:rFonts w:hint="default"/>
          <w:color w:val="auto"/>
          <w:highlight w:val="none"/>
          <w:lang w:val="en-US" w:eastAsia="zh-CN"/>
        </w:rPr>
        <w:t>部门绩效评价的外部监督履职。加强绩效评价结果运用，并与政策调整、资金分配等挂钩，及时校准工作重心；强化绩效信息公开，主动接受外部监督，对人大、审计提出的意见建议、社会公众反映的情况问题，坚决予以整改，切实发挥绩效管理效用。 </w:t>
      </w:r>
    </w:p>
    <w:p>
      <w:pPr>
        <w:bidi w:val="0"/>
        <w:rPr>
          <w:rFonts w:hint="eastAsia" w:ascii="黑体" w:hAnsi="黑体" w:eastAsia="黑体" w:cs="黑体"/>
          <w:color w:val="auto"/>
          <w:sz w:val="32"/>
          <w:szCs w:val="28"/>
          <w:highlight w:val="none"/>
        </w:rPr>
      </w:pPr>
      <w:r>
        <w:rPr>
          <w:rFonts w:hint="eastAsia" w:ascii="黑体" w:hAnsi="黑体" w:eastAsia="黑体" w:cs="黑体"/>
          <w:color w:val="auto"/>
          <w:sz w:val="32"/>
          <w:szCs w:val="28"/>
          <w:highlight w:val="none"/>
          <w:lang w:eastAsia="zh-CN"/>
        </w:rPr>
        <w:t>八</w:t>
      </w:r>
      <w:r>
        <w:rPr>
          <w:rFonts w:hint="eastAsia" w:ascii="黑体" w:hAnsi="黑体" w:eastAsia="黑体" w:cs="黑体"/>
          <w:color w:val="auto"/>
          <w:sz w:val="32"/>
          <w:szCs w:val="28"/>
          <w:highlight w:val="none"/>
        </w:rPr>
        <w:t>、其他需要说明的问题</w:t>
      </w:r>
    </w:p>
    <w:p>
      <w:pPr>
        <w:bidi w:val="0"/>
        <w:rPr>
          <w:color w:val="auto"/>
          <w:highlight w:val="none"/>
        </w:rPr>
      </w:pPr>
      <w:r>
        <w:rPr>
          <w:rFonts w:hint="eastAsia"/>
          <w:color w:val="auto"/>
          <w:highlight w:val="none"/>
        </w:rPr>
        <w:t>我单位对上述项目支出绩效评价报告内反映内容的真实性、完整性负责，接受上级部门及社会公众监督。</w:t>
      </w:r>
    </w:p>
    <w:p>
      <w:pPr>
        <w:bidi w:val="0"/>
        <w:rPr>
          <w:rFonts w:hint="eastAsia" w:ascii="黑体" w:hAnsi="黑体" w:eastAsia="黑体" w:cs="黑体"/>
          <w:color w:val="auto"/>
          <w:sz w:val="32"/>
          <w:szCs w:val="28"/>
          <w:highlight w:val="none"/>
          <w:lang w:eastAsia="zh-CN"/>
        </w:rPr>
      </w:pPr>
      <w:r>
        <w:rPr>
          <w:rFonts w:hint="eastAsia" w:ascii="黑体" w:hAnsi="黑体" w:eastAsia="黑体" w:cs="黑体"/>
          <w:color w:val="auto"/>
          <w:sz w:val="32"/>
          <w:szCs w:val="28"/>
          <w:highlight w:val="none"/>
          <w:lang w:eastAsia="zh-CN"/>
        </w:rPr>
        <w:t>九、附表</w:t>
      </w:r>
    </w:p>
    <w:p>
      <w:pPr>
        <w:bidi w:val="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000000"/>
    <w:rsid w:val="00D104A8"/>
    <w:rsid w:val="17B35DB7"/>
    <w:rsid w:val="1E957669"/>
    <w:rsid w:val="200D7251"/>
    <w:rsid w:val="206233D8"/>
    <w:rsid w:val="349B22FF"/>
    <w:rsid w:val="35496A51"/>
    <w:rsid w:val="364B035F"/>
    <w:rsid w:val="39330366"/>
    <w:rsid w:val="3F1008E3"/>
    <w:rsid w:val="467F27F8"/>
    <w:rsid w:val="4B945D75"/>
    <w:rsid w:val="52C55120"/>
    <w:rsid w:val="53381D82"/>
    <w:rsid w:val="53F8370C"/>
    <w:rsid w:val="5DA27C6B"/>
    <w:rsid w:val="60A9781D"/>
    <w:rsid w:val="66305737"/>
    <w:rsid w:val="6A3A650B"/>
    <w:rsid w:val="6E1A7A6A"/>
    <w:rsid w:val="6E8B7C84"/>
    <w:rsid w:val="75EE0321"/>
    <w:rsid w:val="774529F8"/>
    <w:rsid w:val="777079EF"/>
    <w:rsid w:val="78183DAB"/>
    <w:rsid w:val="796E5CAB"/>
    <w:rsid w:val="79890422"/>
    <w:rsid w:val="7D171F25"/>
    <w:rsid w:val="7F5D0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8773</Words>
  <Characters>9431</Characters>
  <Lines>0</Lines>
  <Paragraphs>0</Paragraphs>
  <TotalTime>51</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